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35" w:rsidRPr="005141BB" w:rsidRDefault="00436E35" w:rsidP="005141BB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41BB">
        <w:rPr>
          <w:rFonts w:ascii="Times New Roman" w:hAnsi="Times New Roman" w:cs="Times New Roman"/>
          <w:b/>
          <w:sz w:val="32"/>
          <w:szCs w:val="32"/>
        </w:rPr>
        <w:t xml:space="preserve">Liste </w:t>
      </w:r>
      <w:bookmarkStart w:id="0" w:name="_GoBack"/>
      <w:bookmarkEnd w:id="0"/>
      <w:r w:rsidRPr="005141BB">
        <w:rPr>
          <w:rFonts w:ascii="Times New Roman" w:hAnsi="Times New Roman" w:cs="Times New Roman"/>
          <w:b/>
          <w:sz w:val="32"/>
          <w:szCs w:val="32"/>
        </w:rPr>
        <w:t>des figures </w:t>
      </w:r>
    </w:p>
    <w:p w:rsidR="00436E35" w:rsidRPr="0082534D" w:rsidRDefault="00436E35" w:rsidP="00436E35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</w:rPr>
      </w:pPr>
    </w:p>
    <w:p w:rsidR="00436E35" w:rsidRPr="006554D8" w:rsidRDefault="00436E35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bookmarkStart w:id="1" w:name="_Toc326412665"/>
      <w:bookmarkStart w:id="2" w:name="_Toc326772327"/>
      <w:r w:rsidRPr="006554D8">
        <w:rPr>
          <w:rFonts w:ascii="Times New Roman" w:hAnsi="Times New Roman" w:cs="Times New Roman"/>
          <w:bCs/>
        </w:rPr>
        <w:t>Figure I.1</w:t>
      </w:r>
      <w:r w:rsidR="005141BB">
        <w:rPr>
          <w:rFonts w:ascii="Times New Roman" w:hAnsi="Times New Roman" w:cs="Times New Roman"/>
          <w:bCs/>
        </w:rPr>
        <w:t xml:space="preserve"> : </w:t>
      </w:r>
      <w:r w:rsidRPr="006554D8">
        <w:rPr>
          <w:rFonts w:ascii="Times New Roman" w:hAnsi="Times New Roman" w:cs="Times New Roman"/>
          <w:bCs/>
        </w:rPr>
        <w:t>Présentation d’un tétraèdre et d’une couche tétraédrique</w:t>
      </w:r>
      <w:bookmarkEnd w:id="1"/>
      <w:r w:rsidRPr="006554D8">
        <w:rPr>
          <w:rFonts w:ascii="Times New Roman" w:hAnsi="Times New Roman" w:cs="Times New Roman"/>
          <w:bCs/>
        </w:rPr>
        <w:t>.</w:t>
      </w:r>
      <w:bookmarkEnd w:id="2"/>
    </w:p>
    <w:p w:rsidR="0082534D" w:rsidRPr="006554D8" w:rsidRDefault="0082534D" w:rsidP="006554D8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I.2 : Classification des matériaux (GTR).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I.3 : Présentation d’un tétraèdre et d’une couche tétraédrique.</w:t>
      </w:r>
    </w:p>
    <w:p w:rsidR="0082534D" w:rsidRPr="006554D8" w:rsidRDefault="0082534D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  <w:bCs/>
        </w:rPr>
        <w:t>Figure I.4 : Présentation d’un octaèdre et d’une couche octaédrique.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I.5 : Structure des argiles du groupe des smectites.</w:t>
      </w:r>
    </w:p>
    <w:p w:rsidR="0082534D" w:rsidRPr="006554D8" w:rsidRDefault="0082534D" w:rsidP="005141BB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 xml:space="preserve">Figure I.6: Ouverture des fissures en proximité des matériaux rigides </w:t>
      </w:r>
    </w:p>
    <w:p w:rsidR="0082534D" w:rsidRPr="006554D8" w:rsidRDefault="005141BB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</w:t>
      </w:r>
      <w:r w:rsidR="0082534D" w:rsidRPr="006554D8">
        <w:rPr>
          <w:rFonts w:ascii="Times New Roman" w:hAnsi="Times New Roman" w:cs="Times New Roman"/>
          <w:bCs/>
        </w:rPr>
        <w:t>Montes et al, (</w:t>
      </w:r>
      <w:proofErr w:type="spellStart"/>
      <w:r w:rsidR="0082534D" w:rsidRPr="006554D8">
        <w:rPr>
          <w:rFonts w:ascii="Times New Roman" w:hAnsi="Times New Roman" w:cs="Times New Roman"/>
          <w:bCs/>
        </w:rPr>
        <w:t>wakim</w:t>
      </w:r>
      <w:proofErr w:type="spellEnd"/>
      <w:r w:rsidR="0082534D" w:rsidRPr="006554D8">
        <w:rPr>
          <w:rFonts w:ascii="Times New Roman" w:hAnsi="Times New Roman" w:cs="Times New Roman"/>
          <w:bCs/>
        </w:rPr>
        <w:t xml:space="preserve"> j, 2005).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I.7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Photographie au Microscope Electronique à Balayage des argiles (Mitchell, 1986).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I.8 : Schéma présentant les différentes origines du gonflement</w:t>
      </w:r>
      <w:r w:rsidR="00A15B04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(Gens et Alonso, 1992</w:t>
      </w:r>
      <w:r w:rsidRPr="006554D8">
        <w:rPr>
          <w:rFonts w:ascii="Times New Roman" w:hAnsi="Times New Roman" w:cs="Times New Roman"/>
          <w:bCs/>
          <w:i/>
          <w:iCs/>
        </w:rPr>
        <w:t>)</w:t>
      </w:r>
      <w:r w:rsidRPr="006554D8">
        <w:rPr>
          <w:rFonts w:ascii="Times New Roman" w:hAnsi="Times New Roman" w:cs="Times New Roman"/>
          <w:bCs/>
        </w:rPr>
        <w:t>.</w:t>
      </w:r>
    </w:p>
    <w:p w:rsidR="0082534D" w:rsidRPr="006554D8" w:rsidRDefault="0082534D" w:rsidP="006554D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I.9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Observation au MEB d’une texture argileuse (</w:t>
      </w:r>
      <w:proofErr w:type="spellStart"/>
      <w:r w:rsidRPr="006554D8">
        <w:rPr>
          <w:rFonts w:ascii="Times New Roman" w:hAnsi="Times New Roman" w:cs="Times New Roman"/>
          <w:bCs/>
        </w:rPr>
        <w:t>Troalen</w:t>
      </w:r>
      <w:proofErr w:type="spellEnd"/>
      <w:r w:rsidRPr="006554D8">
        <w:rPr>
          <w:rFonts w:ascii="Times New Roman" w:hAnsi="Times New Roman" w:cs="Times New Roman"/>
          <w:bCs/>
        </w:rPr>
        <w:t xml:space="preserve"> et al. 1984).</w:t>
      </w:r>
    </w:p>
    <w:p w:rsidR="0082534D" w:rsidRPr="006554D8" w:rsidRDefault="0082534D" w:rsidP="006554D8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I.10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Evolution de texture des sols au cours du gonflement.</w:t>
      </w:r>
    </w:p>
    <w:p w:rsidR="0082534D" w:rsidRPr="006554D8" w:rsidRDefault="0082534D" w:rsidP="006554D8">
      <w:pPr>
        <w:spacing w:after="0" w:line="360" w:lineRule="auto"/>
        <w:ind w:right="142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I.11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Classification des sols selon l’abaque de Williams et Donaldson (1980).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</w:t>
      </w:r>
      <w:r w:rsidRPr="006554D8">
        <w:rPr>
          <w:rFonts w:ascii="Times New Roman" w:hAnsi="Times New Roman" w:cs="Times New Roman"/>
        </w:rPr>
        <w:t xml:space="preserve"> I.12</w:t>
      </w:r>
      <w:r w:rsidR="005141BB">
        <w:rPr>
          <w:rFonts w:ascii="Times New Roman" w:hAnsi="Times New Roman" w:cs="Times New Roman"/>
        </w:rPr>
        <w:t xml:space="preserve"> </w:t>
      </w:r>
      <w:r w:rsidRPr="006554D8">
        <w:rPr>
          <w:rFonts w:ascii="Times New Roman" w:hAnsi="Times New Roman" w:cs="Times New Roman"/>
          <w:bCs/>
        </w:rPr>
        <w:t>: Diagramme de classification du potentiel de gonflement (Seed et al, 1962).</w:t>
      </w:r>
    </w:p>
    <w:p w:rsidR="0082534D" w:rsidRPr="006554D8" w:rsidRDefault="0082534D" w:rsidP="006554D8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I.13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Essais de gonflement libre.</w:t>
      </w:r>
    </w:p>
    <w:p w:rsidR="0082534D" w:rsidRPr="006554D8" w:rsidRDefault="0082534D" w:rsidP="006554D8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I.14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Essais de gonflement en parallèle.</w:t>
      </w:r>
    </w:p>
    <w:p w:rsidR="0082534D" w:rsidRPr="006554D8" w:rsidRDefault="0082534D" w:rsidP="006554D8">
      <w:pPr>
        <w:spacing w:after="0" w:line="360" w:lineRule="auto"/>
        <w:ind w:right="144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I.15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Essai de gonflement à volume constant.</w:t>
      </w:r>
    </w:p>
    <w:p w:rsidR="0082534D" w:rsidRPr="006554D8" w:rsidRDefault="0082534D" w:rsidP="006554D8">
      <w:pPr>
        <w:spacing w:after="0" w:line="360" w:lineRule="auto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I.16</w:t>
      </w:r>
      <w:r w:rsidR="005141BB">
        <w:rPr>
          <w:rFonts w:ascii="Times New Roman" w:hAnsi="Times New Roman" w:cs="Times New Roman"/>
          <w:bCs/>
        </w:rPr>
        <w:t xml:space="preserve"> </w:t>
      </w:r>
      <w:r w:rsidRPr="006554D8">
        <w:rPr>
          <w:rFonts w:ascii="Times New Roman" w:hAnsi="Times New Roman" w:cs="Times New Roman"/>
          <w:bCs/>
        </w:rPr>
        <w:t>: Conditions d’utilisation de la stabilisation chimique (</w:t>
      </w:r>
      <w:proofErr w:type="spellStart"/>
      <w:r w:rsidRPr="006554D8">
        <w:rPr>
          <w:rFonts w:ascii="Times New Roman" w:hAnsi="Times New Roman" w:cs="Times New Roman"/>
          <w:bCs/>
        </w:rPr>
        <w:t>Dept</w:t>
      </w:r>
      <w:proofErr w:type="spellEnd"/>
      <w:r w:rsidRPr="006554D8">
        <w:rPr>
          <w:rFonts w:ascii="Times New Roman" w:hAnsi="Times New Roman" w:cs="Times New Roman"/>
          <w:bCs/>
        </w:rPr>
        <w:t xml:space="preserve">. of the </w:t>
      </w:r>
      <w:proofErr w:type="spellStart"/>
      <w:r w:rsidRPr="006554D8">
        <w:rPr>
          <w:rFonts w:ascii="Times New Roman" w:hAnsi="Times New Roman" w:cs="Times New Roman"/>
          <w:bCs/>
        </w:rPr>
        <w:t>Army</w:t>
      </w:r>
      <w:proofErr w:type="spellEnd"/>
      <w:r w:rsidRPr="006554D8">
        <w:rPr>
          <w:rFonts w:ascii="Times New Roman" w:hAnsi="Times New Roman" w:cs="Times New Roman"/>
          <w:bCs/>
        </w:rPr>
        <w:t>, 1983).</w:t>
      </w:r>
    </w:p>
    <w:p w:rsidR="0082534D" w:rsidRPr="006554D8" w:rsidRDefault="005141BB" w:rsidP="006554D8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I.17 </w:t>
      </w:r>
      <w:r w:rsidR="0082534D" w:rsidRPr="006554D8">
        <w:rPr>
          <w:rFonts w:ascii="Times New Roman" w:hAnsi="Times New Roman" w:cs="Times New Roman"/>
          <w:bCs/>
        </w:rPr>
        <w:t>: Procédé d'épandage du ciment.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I.18 : Les compositions du ciment.</w:t>
      </w:r>
    </w:p>
    <w:p w:rsidR="0082534D" w:rsidRPr="006554D8" w:rsidRDefault="0082534D" w:rsidP="006554D8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  <w:r w:rsidRPr="006554D8">
        <w:rPr>
          <w:rFonts w:ascii="Times New Roman" w:hAnsi="Times New Roman" w:cs="Times New Roman"/>
          <w:bCs/>
        </w:rPr>
        <w:t>Figure I.19 : Les étapes de la fabrication du ciment.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II.1:</w:t>
      </w:r>
      <w:r w:rsidR="005141BB">
        <w:rPr>
          <w:rFonts w:ascii="Times New Roman" w:hAnsi="Times New Roman" w:cs="Times New Roman"/>
        </w:rPr>
        <w:t xml:space="preserve"> </w:t>
      </w:r>
      <w:r w:rsidRPr="006554D8">
        <w:rPr>
          <w:rFonts w:ascii="Times New Roman" w:hAnsi="Times New Roman" w:cs="Times New Roman"/>
        </w:rPr>
        <w:t xml:space="preserve">Appareillage d’analyse granulométrique </w:t>
      </w:r>
      <w:proofErr w:type="gramStart"/>
      <w:r w:rsidRPr="006554D8">
        <w:rPr>
          <w:rFonts w:ascii="Times New Roman" w:hAnsi="Times New Roman" w:cs="Times New Roman"/>
        </w:rPr>
        <w:t>( tamisage</w:t>
      </w:r>
      <w:proofErr w:type="gramEnd"/>
      <w:r w:rsidRPr="006554D8">
        <w:rPr>
          <w:rFonts w:ascii="Times New Roman" w:hAnsi="Times New Roman" w:cs="Times New Roman"/>
        </w:rPr>
        <w:t xml:space="preserve"> et sédimentométrie).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II.2: Appareillage de limites d’Atterberg.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II.3 : Les</w:t>
      </w:r>
      <w:r w:rsidR="005141BB">
        <w:rPr>
          <w:rFonts w:ascii="Times New Roman" w:hAnsi="Times New Roman" w:cs="Times New Roman"/>
        </w:rPr>
        <w:t xml:space="preserve"> </w:t>
      </w:r>
      <w:r w:rsidRPr="006554D8">
        <w:rPr>
          <w:rFonts w:ascii="Times New Roman" w:hAnsi="Times New Roman" w:cs="Times New Roman"/>
        </w:rPr>
        <w:t>étapes de l’essai au bleu de méthylène.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  <w:bCs/>
        </w:rPr>
        <w:t xml:space="preserve">Figure II.4: </w:t>
      </w:r>
      <w:r w:rsidRPr="006554D8">
        <w:rPr>
          <w:rFonts w:ascii="Times New Roman" w:hAnsi="Times New Roman" w:cs="Times New Roman"/>
          <w:iCs/>
        </w:rPr>
        <w:t>Valeurs de bleu de quelques sols</w:t>
      </w:r>
      <w:r w:rsidRPr="006554D8">
        <w:rPr>
          <w:rFonts w:ascii="Times New Roman" w:hAnsi="Times New Roman" w:cs="Times New Roman"/>
        </w:rPr>
        <w:t>.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II.5 : Schéma synoptique du</w:t>
      </w:r>
      <w:r w:rsidR="005141BB">
        <w:rPr>
          <w:rFonts w:ascii="Times New Roman" w:hAnsi="Times New Roman" w:cs="Times New Roman"/>
        </w:rPr>
        <w:t xml:space="preserve"> </w:t>
      </w:r>
      <w:r w:rsidRPr="006554D8">
        <w:rPr>
          <w:rFonts w:ascii="Times New Roman" w:hAnsi="Times New Roman" w:cs="Times New Roman"/>
        </w:rPr>
        <w:t>processus opératoire de l’essai de fragmentabilité.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II.6 : Schéma synoptique de processus opératoire de l’essai de digradabilité</w:t>
      </w:r>
    </w:p>
    <w:p w:rsidR="00A26734" w:rsidRPr="006554D8" w:rsidRDefault="00A26734" w:rsidP="006554D8">
      <w:pPr>
        <w:spacing w:after="0" w:line="360" w:lineRule="auto"/>
        <w:rPr>
          <w:rFonts w:ascii="Times New Roman" w:hAnsi="Times New Roman" w:cs="Times New Roman"/>
          <w:spacing w:val="-3"/>
        </w:rPr>
      </w:pPr>
      <w:r w:rsidRPr="006554D8">
        <w:rPr>
          <w:rFonts w:ascii="Times New Roman" w:hAnsi="Times New Roman" w:cs="Times New Roman"/>
          <w:spacing w:val="-3"/>
        </w:rPr>
        <w:t>Figure II.7 : Appareil de poinçonnement (essai CBR).</w:t>
      </w:r>
    </w:p>
    <w:p w:rsidR="008700A0" w:rsidRPr="006554D8" w:rsidRDefault="008700A0" w:rsidP="006554D8">
      <w:pPr>
        <w:tabs>
          <w:tab w:val="left" w:pos="570"/>
        </w:tabs>
        <w:spacing w:after="0" w:line="360" w:lineRule="auto"/>
        <w:rPr>
          <w:rFonts w:ascii="Times New Roman" w:hAnsi="Times New Roman" w:cs="Times New Roman"/>
          <w:spacing w:val="-3"/>
        </w:rPr>
      </w:pPr>
      <w:r w:rsidRPr="006554D8">
        <w:rPr>
          <w:rFonts w:ascii="Times New Roman" w:hAnsi="Times New Roman" w:cs="Times New Roman"/>
        </w:rPr>
        <w:t>Figure II.8 </w:t>
      </w:r>
      <w:r w:rsidRPr="006554D8">
        <w:rPr>
          <w:rFonts w:ascii="Times New Roman" w:hAnsi="Times New Roman" w:cs="Times New Roman"/>
          <w:spacing w:val="-3"/>
        </w:rPr>
        <w:t>: Imbibition des échantillons (essai CBR).</w:t>
      </w:r>
    </w:p>
    <w:p w:rsidR="006554D8" w:rsidRPr="006554D8" w:rsidRDefault="006554D8" w:rsidP="005C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II.9 : Principe de l’essai à la boite.</w:t>
      </w:r>
    </w:p>
    <w:p w:rsidR="005C27A2" w:rsidRDefault="006554D8" w:rsidP="005C27A2">
      <w:pPr>
        <w:spacing w:after="0" w:line="360" w:lineRule="auto"/>
        <w:rPr>
          <w:rFonts w:ascii="Times New Roman" w:hAnsi="Times New Roman" w:cs="Times New Roman"/>
        </w:rPr>
      </w:pPr>
      <w:r w:rsidRPr="006554D8">
        <w:rPr>
          <w:rFonts w:ascii="Times New Roman" w:hAnsi="Times New Roman" w:cs="Times New Roman"/>
        </w:rPr>
        <w:t>Figure II.10 : Appareille de cisaillement direct.</w:t>
      </w:r>
      <w:bookmarkStart w:id="3" w:name="_Toc326566382"/>
      <w:bookmarkStart w:id="4" w:name="_Toc326566437"/>
      <w:bookmarkStart w:id="5" w:name="_Toc326771052"/>
      <w:bookmarkStart w:id="6" w:name="_Toc326771249"/>
    </w:p>
    <w:p w:rsidR="00984778" w:rsidRPr="005C27A2" w:rsidRDefault="00984778" w:rsidP="005C27A2">
      <w:pPr>
        <w:spacing w:after="0" w:line="360" w:lineRule="auto"/>
        <w:rPr>
          <w:rFonts w:ascii="Times New Roman" w:hAnsi="Times New Roman" w:cs="Times New Roman"/>
        </w:rPr>
      </w:pPr>
      <w:r w:rsidRPr="006E6B18">
        <w:rPr>
          <w:rFonts w:ascii="Times New Roman" w:hAnsi="Times New Roman" w:cstheme="majorBidi"/>
          <w:bCs/>
        </w:rPr>
        <w:t xml:space="preserve">Figure III.1 : </w:t>
      </w:r>
      <w:r w:rsidRPr="006E6B18">
        <w:rPr>
          <w:rFonts w:ascii="Times New Roman" w:hAnsi="Times New Roman" w:cstheme="majorBidi"/>
        </w:rPr>
        <w:t>Analyse diffractométrique de l’argile étudiée.</w:t>
      </w:r>
      <w:bookmarkEnd w:id="3"/>
      <w:bookmarkEnd w:id="4"/>
      <w:bookmarkEnd w:id="5"/>
      <w:bookmarkEnd w:id="6"/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7" w:name="_Toc326771054"/>
      <w:bookmarkStart w:id="8" w:name="_Toc326771251"/>
      <w:r w:rsidRPr="006E6B18">
        <w:rPr>
          <w:rFonts w:ascii="Times New Roman" w:hAnsi="Times New Roman" w:cstheme="majorBidi"/>
        </w:rPr>
        <w:t>Figure III.2 : analyse chimique de l’argile étudiée.</w:t>
      </w:r>
      <w:bookmarkEnd w:id="7"/>
      <w:bookmarkEnd w:id="8"/>
    </w:p>
    <w:p w:rsidR="00984778" w:rsidRPr="006E6B18" w:rsidRDefault="00984778" w:rsidP="00984778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theme="majorBidi"/>
        </w:rPr>
      </w:pPr>
      <w:bookmarkStart w:id="9" w:name="_Toc326771057"/>
      <w:bookmarkStart w:id="10" w:name="_Toc326771254"/>
      <w:r w:rsidRPr="006E6B18">
        <w:rPr>
          <w:rFonts w:ascii="Times New Roman" w:hAnsi="Times New Roman" w:cstheme="majorBidi"/>
        </w:rPr>
        <w:lastRenderedPageBreak/>
        <w:t>Figure III.3 : Courbe d’Analyse granulométrique (tamisage et sédimentométrie).</w:t>
      </w:r>
      <w:bookmarkEnd w:id="9"/>
      <w:bookmarkEnd w:id="10"/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11" w:name="_Toc326771060"/>
      <w:bookmarkStart w:id="12" w:name="_Toc326771257"/>
      <w:r w:rsidRPr="006E6B18">
        <w:rPr>
          <w:rFonts w:ascii="Times New Roman" w:hAnsi="Times New Roman" w:cstheme="majorBidi"/>
        </w:rPr>
        <w:t>Figure III.4 : Diagramme de Casagrande (Philipponnat et Hubert.1997).</w:t>
      </w:r>
      <w:bookmarkEnd w:id="11"/>
      <w:bookmarkEnd w:id="12"/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13" w:name="_Toc326771064"/>
      <w:bookmarkStart w:id="14" w:name="_Toc326771261"/>
      <w:r w:rsidRPr="006E6B18">
        <w:rPr>
          <w:rFonts w:ascii="Times New Roman" w:hAnsi="Times New Roman" w:cstheme="majorBidi"/>
        </w:rPr>
        <w:t xml:space="preserve">Figure III.5 : Résultats des </w:t>
      </w:r>
      <w:r w:rsidRPr="006E6B18">
        <w:rPr>
          <w:rFonts w:ascii="Times New Roman" w:hAnsi="Times New Roman" w:cstheme="majorBidi"/>
          <w:bCs/>
        </w:rPr>
        <w:t>pourcentages des tamisats cumulés.</w:t>
      </w:r>
      <w:bookmarkEnd w:id="13"/>
      <w:bookmarkEnd w:id="14"/>
    </w:p>
    <w:p w:rsidR="005C27A2" w:rsidRDefault="00984778" w:rsidP="005C27A2">
      <w:pPr>
        <w:spacing w:after="0" w:line="360" w:lineRule="auto"/>
        <w:rPr>
          <w:rFonts w:ascii="Times New Roman" w:hAnsi="Times New Roman" w:cstheme="majorBidi"/>
        </w:rPr>
      </w:pPr>
      <w:r w:rsidRPr="006E6B18">
        <w:rPr>
          <w:rFonts w:ascii="Times New Roman" w:hAnsi="Times New Roman" w:cstheme="majorBidi"/>
        </w:rPr>
        <w:t xml:space="preserve">Figure III.6: Résultats des </w:t>
      </w:r>
      <w:r w:rsidRPr="006E6B18">
        <w:rPr>
          <w:rFonts w:ascii="Times New Roman" w:hAnsi="Times New Roman" w:cstheme="majorBidi"/>
          <w:bCs/>
        </w:rPr>
        <w:t>pourcentages des tamisats cumulés.</w:t>
      </w:r>
    </w:p>
    <w:p w:rsidR="00984778" w:rsidRPr="005C27A2" w:rsidRDefault="00984778" w:rsidP="005C27A2">
      <w:pPr>
        <w:spacing w:after="0" w:line="360" w:lineRule="auto"/>
        <w:rPr>
          <w:rFonts w:ascii="Times New Roman" w:hAnsi="Times New Roman" w:cstheme="majorBidi"/>
        </w:rPr>
      </w:pPr>
      <w:r w:rsidRPr="006E6B18">
        <w:rPr>
          <w:rFonts w:ascii="Times New Roman" w:hAnsi="Times New Roman" w:cstheme="majorBidi"/>
          <w:color w:val="20231E"/>
        </w:rPr>
        <w:t xml:space="preserve">Figure III.7 : </w:t>
      </w:r>
      <w:r w:rsidRPr="006E6B18">
        <w:rPr>
          <w:rFonts w:ascii="Times New Roman" w:hAnsi="Times New Roman" w:cstheme="majorBidi"/>
          <w:bCs/>
        </w:rPr>
        <w:t>Résultats de trois essais Proctor normal.</w:t>
      </w:r>
    </w:p>
    <w:p w:rsidR="00984778" w:rsidRPr="006E6B18" w:rsidRDefault="00984778" w:rsidP="00984778">
      <w:pPr>
        <w:tabs>
          <w:tab w:val="left" w:pos="570"/>
        </w:tabs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15" w:name="_Toc326771081"/>
      <w:bookmarkStart w:id="16" w:name="_Toc326771278"/>
      <w:r w:rsidRPr="006E6B18">
        <w:rPr>
          <w:rFonts w:ascii="Times New Roman" w:hAnsi="Times New Roman" w:cstheme="majorBidi"/>
          <w:bCs/>
        </w:rPr>
        <w:t>Figure ІІІ.8 : Classification du sol étudié en fonction des paramètres d'identification.</w:t>
      </w:r>
      <w:bookmarkEnd w:id="15"/>
      <w:bookmarkEnd w:id="16"/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17" w:name="_Toc326771094"/>
      <w:bookmarkStart w:id="18" w:name="_Toc326771291"/>
      <w:r w:rsidRPr="006E6B18">
        <w:rPr>
          <w:rFonts w:ascii="Times New Roman" w:hAnsi="Times New Roman" w:cstheme="majorBidi"/>
          <w:bCs/>
        </w:rPr>
        <w:t>Figure III .9: Limite de liquidité en fonction du teneur en ciment.</w:t>
      </w:r>
      <w:bookmarkEnd w:id="17"/>
      <w:bookmarkEnd w:id="18"/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 III .10: Limite de plasticité en fonction du teneur en ciment.</w:t>
      </w:r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 III .11: L’indice de plasticité en fonction du teneur en ciment.</w:t>
      </w:r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</w:rPr>
      </w:pPr>
      <w:r w:rsidRPr="006E6B18">
        <w:rPr>
          <w:rFonts w:ascii="Times New Roman" w:hAnsi="Times New Roman" w:cstheme="majorBidi"/>
        </w:rPr>
        <w:t>Figure III.12 : Diagramme de Casagrande (Philipponnat et Hubert.1997).</w:t>
      </w:r>
    </w:p>
    <w:p w:rsidR="00984778" w:rsidRPr="006E6B18" w:rsidRDefault="00984778" w:rsidP="00984778">
      <w:pPr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19" w:name="_Toc326771096"/>
      <w:bookmarkStart w:id="20" w:name="_Toc326771293"/>
      <w:r w:rsidRPr="006E6B18">
        <w:rPr>
          <w:rFonts w:ascii="Times New Roman" w:hAnsi="Times New Roman" w:cstheme="majorBidi"/>
          <w:bCs/>
        </w:rPr>
        <w:t>Figure III.13 : Variation de la valeur de VBS en fonction de la teneur en ciment.</w:t>
      </w:r>
      <w:bookmarkEnd w:id="19"/>
      <w:bookmarkEnd w:id="20"/>
    </w:p>
    <w:p w:rsidR="00984778" w:rsidRPr="006E6B18" w:rsidRDefault="00984778" w:rsidP="00984778">
      <w:pPr>
        <w:pStyle w:val="Titre4"/>
        <w:spacing w:before="0" w:line="360" w:lineRule="auto"/>
        <w:rPr>
          <w:rFonts w:ascii="Times New Roman" w:hAnsi="Times New Roman"/>
          <w:b w:val="0"/>
          <w:i w:val="0"/>
          <w:iCs w:val="0"/>
          <w:sz w:val="24"/>
        </w:rPr>
      </w:pPr>
      <w:r w:rsidRPr="006E6B18">
        <w:rPr>
          <w:rFonts w:ascii="Times New Roman" w:hAnsi="Times New Roman"/>
          <w:b w:val="0"/>
          <w:i w:val="0"/>
          <w:iCs w:val="0"/>
          <w:sz w:val="24"/>
        </w:rPr>
        <w:t>Figure III.14 : Variation de la valeur de VBS en fonction de la teneur en ciment.</w:t>
      </w:r>
    </w:p>
    <w:p w:rsidR="00984778" w:rsidRPr="006E6B18" w:rsidRDefault="00984778" w:rsidP="00984778">
      <w:pPr>
        <w:tabs>
          <w:tab w:val="left" w:pos="1066"/>
        </w:tabs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21" w:name="_Toc326771097"/>
      <w:bookmarkStart w:id="22" w:name="_Toc326771294"/>
      <w:r w:rsidRPr="006E6B18">
        <w:rPr>
          <w:rFonts w:ascii="Times New Roman" w:hAnsi="Times New Roman" w:cstheme="majorBidi"/>
          <w:bCs/>
        </w:rPr>
        <w:t>Figure III.15: Variation du coefficient de fragmentabilité en fonction des teneurs en ciment.</w:t>
      </w:r>
      <w:bookmarkEnd w:id="21"/>
      <w:bookmarkEnd w:id="22"/>
    </w:p>
    <w:p w:rsidR="00984778" w:rsidRPr="006E6B18" w:rsidRDefault="00984778" w:rsidP="00984778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 III.16: Variation du coefficient de dégradabilité en fonction des teneurs en ciment.</w:t>
      </w:r>
    </w:p>
    <w:p w:rsidR="00984778" w:rsidRPr="006E6B18" w:rsidRDefault="00984778" w:rsidP="00984778">
      <w:pPr>
        <w:tabs>
          <w:tab w:val="left" w:pos="0"/>
          <w:tab w:val="left" w:pos="222"/>
        </w:tabs>
        <w:spacing w:after="0" w:line="360" w:lineRule="auto"/>
        <w:outlineLvl w:val="0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 III .17: Influence de ciment la  sur les caractéristiques de compactage.</w:t>
      </w:r>
    </w:p>
    <w:p w:rsidR="005C27A2" w:rsidRDefault="00984778" w:rsidP="00984778">
      <w:pPr>
        <w:tabs>
          <w:tab w:val="left" w:pos="570"/>
        </w:tabs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 III.18 : Courbes des forces de pénétration en fonction des enfoncements pour différentes</w:t>
      </w:r>
    </w:p>
    <w:p w:rsidR="00984778" w:rsidRPr="006E6B18" w:rsidRDefault="005C27A2" w:rsidP="00984778">
      <w:pPr>
        <w:tabs>
          <w:tab w:val="left" w:pos="570"/>
        </w:tabs>
        <w:spacing w:after="0" w:line="360" w:lineRule="auto"/>
        <w:rPr>
          <w:rStyle w:val="sottotitololabel"/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</w:t>
      </w:r>
      <w:r w:rsidR="00984778" w:rsidRPr="006E6B18">
        <w:rPr>
          <w:rFonts w:ascii="Times New Roman" w:hAnsi="Times New Roman" w:cstheme="majorBidi"/>
          <w:bCs/>
        </w:rPr>
        <w:t xml:space="preserve"> </w:t>
      </w:r>
      <w:r>
        <w:rPr>
          <w:rFonts w:ascii="Times New Roman" w:hAnsi="Times New Roman" w:cstheme="majorBidi"/>
          <w:bCs/>
        </w:rPr>
        <w:t xml:space="preserve">  </w:t>
      </w:r>
      <w:proofErr w:type="gramStart"/>
      <w:r w:rsidR="00984778" w:rsidRPr="006E6B18">
        <w:rPr>
          <w:rFonts w:ascii="Times New Roman" w:hAnsi="Times New Roman" w:cstheme="majorBidi"/>
          <w:bCs/>
        </w:rPr>
        <w:t>teneurs</w:t>
      </w:r>
      <w:proofErr w:type="gramEnd"/>
      <w:r w:rsidR="00984778" w:rsidRPr="006E6B18">
        <w:rPr>
          <w:rFonts w:ascii="Times New Roman" w:hAnsi="Times New Roman" w:cstheme="majorBidi"/>
          <w:bCs/>
        </w:rPr>
        <w:t xml:space="preserve"> en ciment (C.B.R. immédiat).</w:t>
      </w:r>
    </w:p>
    <w:p w:rsidR="005C27A2" w:rsidRDefault="00984778" w:rsidP="00984778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 xml:space="preserve">Figure III.19 : Courbes des forces en fonction des teneurs en ciment de chaque enfoncement </w:t>
      </w:r>
    </w:p>
    <w:p w:rsidR="00984778" w:rsidRPr="006E6B18" w:rsidRDefault="005C27A2" w:rsidP="00984778">
      <w:pPr>
        <w:spacing w:after="0" w:line="360" w:lineRule="auto"/>
        <w:rPr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   </w:t>
      </w:r>
      <w:r w:rsidR="00984778" w:rsidRPr="006E6B18">
        <w:rPr>
          <w:rFonts w:ascii="Times New Roman" w:hAnsi="Times New Roman" w:cstheme="majorBidi"/>
          <w:bCs/>
        </w:rPr>
        <w:t>(C.B.R. immédiat)</w:t>
      </w:r>
    </w:p>
    <w:p w:rsidR="00984778" w:rsidRPr="006E6B18" w:rsidRDefault="00984778" w:rsidP="00984778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 III.20: Indices C.B.R. immédiats en fonction des teneurs en ciment et leur droite moyenne.</w:t>
      </w:r>
    </w:p>
    <w:p w:rsidR="005C27A2" w:rsidRDefault="00984778" w:rsidP="00984778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 III.21: Courbes des forces</w:t>
      </w:r>
      <w:r w:rsidRPr="006E6B18">
        <w:rPr>
          <w:rFonts w:ascii="Times New Roman" w:hAnsi="Times New Roman" w:cstheme="majorBidi"/>
        </w:rPr>
        <w:t xml:space="preserve"> </w:t>
      </w:r>
      <w:r w:rsidRPr="006E6B18">
        <w:rPr>
          <w:rFonts w:ascii="Times New Roman" w:hAnsi="Times New Roman" w:cstheme="majorBidi"/>
          <w:bCs/>
        </w:rPr>
        <w:t xml:space="preserve">de pénétration en fonction des enfoncements pour différentes </w:t>
      </w:r>
    </w:p>
    <w:p w:rsidR="00984778" w:rsidRPr="006E6B18" w:rsidRDefault="005C27A2" w:rsidP="00984778">
      <w:pPr>
        <w:spacing w:after="0" w:line="360" w:lineRule="auto"/>
        <w:rPr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  </w:t>
      </w:r>
      <w:proofErr w:type="gramStart"/>
      <w:r w:rsidR="00984778" w:rsidRPr="006E6B18">
        <w:rPr>
          <w:rFonts w:ascii="Times New Roman" w:hAnsi="Times New Roman" w:cstheme="majorBidi"/>
          <w:bCs/>
        </w:rPr>
        <w:t>teneurs</w:t>
      </w:r>
      <w:proofErr w:type="gramEnd"/>
      <w:r w:rsidR="00984778" w:rsidRPr="006E6B18">
        <w:rPr>
          <w:rFonts w:ascii="Times New Roman" w:hAnsi="Times New Roman" w:cstheme="majorBidi"/>
          <w:bCs/>
        </w:rPr>
        <w:t xml:space="preserve"> en ciment  (après imbibition).</w:t>
      </w:r>
    </w:p>
    <w:p w:rsidR="005C27A2" w:rsidRDefault="00984778" w:rsidP="00984778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 xml:space="preserve">Figure III .22: courbes des forces en fonction des teneurs en ciment de chaque enfoncement  </w:t>
      </w:r>
    </w:p>
    <w:p w:rsidR="00984778" w:rsidRPr="006E6B18" w:rsidRDefault="005C27A2" w:rsidP="00984778">
      <w:pPr>
        <w:spacing w:after="0" w:line="360" w:lineRule="auto"/>
        <w:rPr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</w:t>
      </w:r>
      <w:r w:rsidR="00984778" w:rsidRPr="006E6B18">
        <w:rPr>
          <w:rFonts w:ascii="Times New Roman" w:hAnsi="Times New Roman" w:cstheme="majorBidi"/>
          <w:bCs/>
        </w:rPr>
        <w:t xml:space="preserve">      (</w:t>
      </w:r>
      <w:proofErr w:type="gramStart"/>
      <w:r w:rsidR="00984778" w:rsidRPr="006E6B18">
        <w:rPr>
          <w:rFonts w:ascii="Times New Roman" w:hAnsi="Times New Roman" w:cstheme="majorBidi"/>
          <w:bCs/>
        </w:rPr>
        <w:t>après</w:t>
      </w:r>
      <w:proofErr w:type="gramEnd"/>
      <w:r w:rsidR="00984778" w:rsidRPr="006E6B18">
        <w:rPr>
          <w:rFonts w:ascii="Times New Roman" w:hAnsi="Times New Roman" w:cstheme="majorBidi"/>
          <w:bCs/>
        </w:rPr>
        <w:t xml:space="preserve"> imbibition).</w:t>
      </w:r>
    </w:p>
    <w:p w:rsidR="005C27A2" w:rsidRDefault="00984778" w:rsidP="00984778">
      <w:pPr>
        <w:tabs>
          <w:tab w:val="left" w:pos="570"/>
        </w:tabs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 xml:space="preserve">Figure III.23: Indices C.B.R. après imbibition en fonction des teneurs en ciment et leur droite </w:t>
      </w:r>
    </w:p>
    <w:p w:rsidR="00984778" w:rsidRPr="006E6B18" w:rsidRDefault="005C27A2" w:rsidP="00984778">
      <w:pPr>
        <w:tabs>
          <w:tab w:val="left" w:pos="570"/>
        </w:tabs>
        <w:spacing w:after="0" w:line="360" w:lineRule="auto"/>
        <w:rPr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  </w:t>
      </w:r>
      <w:proofErr w:type="gramStart"/>
      <w:r w:rsidR="00984778" w:rsidRPr="006E6B18">
        <w:rPr>
          <w:rFonts w:ascii="Times New Roman" w:hAnsi="Times New Roman" w:cstheme="majorBidi"/>
          <w:bCs/>
        </w:rPr>
        <w:t>moyenne</w:t>
      </w:r>
      <w:proofErr w:type="gramEnd"/>
      <w:r w:rsidR="00984778" w:rsidRPr="006E6B18">
        <w:rPr>
          <w:rFonts w:ascii="Times New Roman" w:hAnsi="Times New Roman" w:cstheme="majorBidi"/>
          <w:bCs/>
        </w:rPr>
        <w:t>.</w:t>
      </w:r>
    </w:p>
    <w:p w:rsidR="00984778" w:rsidRPr="006E6B18" w:rsidRDefault="00984778" w:rsidP="00984778">
      <w:pPr>
        <w:tabs>
          <w:tab w:val="left" w:pos="1066"/>
        </w:tabs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Figure III.24 : Gonflement linéaires en fonction des teneurs en ciment et leur droite moyenne.</w:t>
      </w:r>
    </w:p>
    <w:p w:rsidR="005C27A2" w:rsidRDefault="00984778" w:rsidP="00984778">
      <w:pPr>
        <w:spacing w:after="0" w:line="360" w:lineRule="auto"/>
        <w:rPr>
          <w:rFonts w:ascii="Times New Roman" w:hAnsi="Times New Roman" w:cstheme="majorBidi"/>
          <w:bCs/>
        </w:rPr>
      </w:pPr>
      <w:bookmarkStart w:id="23" w:name="_Toc326771102"/>
      <w:bookmarkStart w:id="24" w:name="_Toc326771299"/>
      <w:r w:rsidRPr="006E6B18">
        <w:rPr>
          <w:rFonts w:ascii="Times New Roman" w:hAnsi="Times New Roman" w:cstheme="majorBidi"/>
          <w:bCs/>
        </w:rPr>
        <w:t>Figure III.25: Effort de cisaillement en fonction des teneurs en ciment.</w:t>
      </w:r>
      <w:bookmarkEnd w:id="23"/>
      <w:bookmarkEnd w:id="24"/>
      <w:r w:rsidR="005C27A2">
        <w:rPr>
          <w:rFonts w:ascii="Times New Roman" w:hAnsi="Times New Roman" w:cstheme="majorBidi"/>
          <w:bCs/>
        </w:rPr>
        <w:t xml:space="preserve"> </w:t>
      </w:r>
      <w:r w:rsidRPr="006E6B18">
        <w:rPr>
          <w:rFonts w:ascii="Times New Roman" w:hAnsi="Times New Roman" w:cstheme="majorBidi"/>
          <w:bCs/>
        </w:rPr>
        <w:t xml:space="preserve">Tableau III.24: Résultats des </w:t>
      </w:r>
    </w:p>
    <w:p w:rsidR="00984778" w:rsidRPr="006E6B18" w:rsidRDefault="005C27A2" w:rsidP="00984778">
      <w:pPr>
        <w:spacing w:after="0" w:line="360" w:lineRule="auto"/>
        <w:rPr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  </w:t>
      </w:r>
      <w:proofErr w:type="gramStart"/>
      <w:r w:rsidR="00984778" w:rsidRPr="006E6B18">
        <w:rPr>
          <w:rFonts w:ascii="Times New Roman" w:hAnsi="Times New Roman" w:cstheme="majorBidi"/>
          <w:bCs/>
        </w:rPr>
        <w:t>coefficients</w:t>
      </w:r>
      <w:proofErr w:type="gramEnd"/>
      <w:r w:rsidR="00984778" w:rsidRPr="006E6B18">
        <w:rPr>
          <w:rFonts w:ascii="Times New Roman" w:hAnsi="Times New Roman" w:cstheme="majorBidi"/>
          <w:bCs/>
        </w:rPr>
        <w:t xml:space="preserve"> de fragmentabilité pour différentes teneurs en ciment.</w:t>
      </w:r>
    </w:p>
    <w:p w:rsidR="005C27A2" w:rsidRDefault="00984778" w:rsidP="005C27A2">
      <w:pPr>
        <w:spacing w:after="0" w:line="360" w:lineRule="auto"/>
        <w:rPr>
          <w:rFonts w:ascii="Times New Roman" w:hAnsi="Times New Roman" w:cstheme="majorBidi"/>
        </w:rPr>
      </w:pPr>
      <w:bookmarkStart w:id="25" w:name="_Toc326771104"/>
      <w:bookmarkStart w:id="26" w:name="_Toc326771301"/>
      <w:r w:rsidRPr="006E6B18">
        <w:rPr>
          <w:rFonts w:ascii="Times New Roman" w:hAnsi="Times New Roman" w:cstheme="majorBidi"/>
        </w:rPr>
        <w:t xml:space="preserve">Figure III.26 : l’effort de cisaillement moyen en fonction du déplacement moyen correspondant à la </w:t>
      </w:r>
    </w:p>
    <w:p w:rsidR="00984778" w:rsidRPr="006E6B18" w:rsidRDefault="005C27A2" w:rsidP="005C27A2">
      <w:pPr>
        <w:spacing w:line="360" w:lineRule="auto"/>
        <w:rPr>
          <w:rFonts w:ascii="Times New Roman" w:hAnsi="Times New Roman" w:cstheme="majorBidi"/>
        </w:rPr>
      </w:pPr>
      <w:r>
        <w:rPr>
          <w:rFonts w:ascii="Times New Roman" w:hAnsi="Times New Roman" w:cstheme="majorBidi"/>
        </w:rPr>
        <w:t xml:space="preserve">                       </w:t>
      </w:r>
      <w:proofErr w:type="gramStart"/>
      <w:r w:rsidR="00984778" w:rsidRPr="006E6B18">
        <w:rPr>
          <w:rFonts w:ascii="Times New Roman" w:hAnsi="Times New Roman" w:cstheme="majorBidi"/>
        </w:rPr>
        <w:t>moyenne</w:t>
      </w:r>
      <w:proofErr w:type="gramEnd"/>
      <w:r w:rsidR="00984778" w:rsidRPr="006E6B18">
        <w:rPr>
          <w:rFonts w:ascii="Times New Roman" w:hAnsi="Times New Roman" w:cstheme="majorBidi"/>
        </w:rPr>
        <w:t xml:space="preserve"> des trois couches.</w:t>
      </w:r>
      <w:bookmarkEnd w:id="25"/>
      <w:bookmarkEnd w:id="26"/>
    </w:p>
    <w:p w:rsidR="00DF11E4" w:rsidRDefault="00DF11E4"/>
    <w:sectPr w:rsidR="00DF11E4" w:rsidSect="00436E35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6E35"/>
    <w:rsid w:val="00436E35"/>
    <w:rsid w:val="005141BB"/>
    <w:rsid w:val="005C27A2"/>
    <w:rsid w:val="006554D8"/>
    <w:rsid w:val="0082534D"/>
    <w:rsid w:val="008700A0"/>
    <w:rsid w:val="008A3A5D"/>
    <w:rsid w:val="008A548F"/>
    <w:rsid w:val="00984778"/>
    <w:rsid w:val="00A15B04"/>
    <w:rsid w:val="00A26734"/>
    <w:rsid w:val="00A66A49"/>
    <w:rsid w:val="00A85076"/>
    <w:rsid w:val="00DF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E35"/>
    <w:pPr>
      <w:spacing w:line="240" w:lineRule="auto"/>
    </w:pPr>
    <w:rPr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84778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6E35"/>
    <w:pPr>
      <w:spacing w:line="276" w:lineRule="auto"/>
      <w:ind w:left="720"/>
      <w:contextualSpacing/>
    </w:pPr>
    <w:rPr>
      <w:sz w:val="22"/>
      <w:szCs w:val="22"/>
    </w:rPr>
  </w:style>
  <w:style w:type="character" w:customStyle="1" w:styleId="sottotitololabel">
    <w:name w:val="sottotitololabel"/>
    <w:basedOn w:val="Policepardfaut"/>
    <w:rsid w:val="00436E35"/>
  </w:style>
  <w:style w:type="character" w:customStyle="1" w:styleId="Titre4Car">
    <w:name w:val="Titre 4 Car"/>
    <w:basedOn w:val="Policepardfaut"/>
    <w:link w:val="Titre4"/>
    <w:uiPriority w:val="9"/>
    <w:rsid w:val="00984778"/>
    <w:rPr>
      <w:rFonts w:asciiTheme="majorHAnsi" w:eastAsiaTheme="majorEastAsia" w:hAnsiTheme="majorHAnsi" w:cstheme="majorBidi"/>
      <w:b/>
      <w:bCs/>
      <w:i/>
      <w:iCs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686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dimetri</dc:creator>
  <cp:lastModifiedBy>BA7</cp:lastModifiedBy>
  <cp:revision>10</cp:revision>
  <dcterms:created xsi:type="dcterms:W3CDTF">2012-06-06T18:21:00Z</dcterms:created>
  <dcterms:modified xsi:type="dcterms:W3CDTF">2012-06-13T07:18:00Z</dcterms:modified>
</cp:coreProperties>
</file>